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5579E3A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382A93">
        <w:rPr>
          <w:rFonts w:ascii="Tahoma" w:hAnsi="Tahoma" w:cs="Tahoma"/>
          <w:b/>
          <w:sz w:val="20"/>
        </w:rPr>
        <w:t>Odsávačka</w:t>
      </w:r>
      <w:r w:rsidR="00133D3F">
        <w:rPr>
          <w:rFonts w:ascii="Tahoma" w:hAnsi="Tahoma" w:cs="Tahoma"/>
          <w:b/>
          <w:sz w:val="20"/>
        </w:rPr>
        <w:t xml:space="preserve"> (</w:t>
      </w:r>
      <w:r w:rsidR="00382A93">
        <w:rPr>
          <w:rFonts w:ascii="Tahoma" w:hAnsi="Tahoma" w:cs="Tahoma"/>
          <w:b/>
          <w:sz w:val="20"/>
        </w:rPr>
        <w:t>2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382A93" w:rsidRPr="005A6ACC" w14:paraId="7474A2A6" w14:textId="77777777" w:rsidTr="00424431">
        <w:tc>
          <w:tcPr>
            <w:tcW w:w="5649" w:type="dxa"/>
          </w:tcPr>
          <w:p w14:paraId="0267A167" w14:textId="3DD19F3E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Dodání elektrické chirurgické odsávačky k odsávání tělních tekutin při zdravotnických výkonech, vhodné pro použití na lůžkových odděleních</w:t>
            </w:r>
          </w:p>
        </w:tc>
        <w:tc>
          <w:tcPr>
            <w:tcW w:w="1057" w:type="dxa"/>
            <w:gridSpan w:val="2"/>
          </w:tcPr>
          <w:p w14:paraId="5CA78C09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7E807B22" w14:textId="77777777" w:rsidTr="00424431">
        <w:tc>
          <w:tcPr>
            <w:tcW w:w="5649" w:type="dxa"/>
          </w:tcPr>
          <w:p w14:paraId="68E779C4" w14:textId="2DD6E9B0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Odsávačka musí umožňovat plynulé nebo jinak regulovatelné nastavení podtlaku podle potřeb pracoviště a typu výkonu</w:t>
            </w:r>
          </w:p>
        </w:tc>
        <w:tc>
          <w:tcPr>
            <w:tcW w:w="1057" w:type="dxa"/>
            <w:gridSpan w:val="2"/>
          </w:tcPr>
          <w:p w14:paraId="13374D24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1575793D" w14:textId="77777777" w:rsidTr="00424431">
        <w:tc>
          <w:tcPr>
            <w:tcW w:w="5649" w:type="dxa"/>
          </w:tcPr>
          <w:p w14:paraId="76F1154F" w14:textId="28CFC873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Max. průtok: minimálně 60 l/min.</w:t>
            </w:r>
          </w:p>
        </w:tc>
        <w:tc>
          <w:tcPr>
            <w:tcW w:w="1057" w:type="dxa"/>
            <w:gridSpan w:val="2"/>
          </w:tcPr>
          <w:p w14:paraId="19CB6EEA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48C98098" w14:textId="77777777" w:rsidTr="00A15621">
        <w:tc>
          <w:tcPr>
            <w:tcW w:w="5649" w:type="dxa"/>
          </w:tcPr>
          <w:p w14:paraId="3099EC35" w14:textId="4649B081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lastRenderedPageBreak/>
              <w:t>Zařízení musí být vybaveno pojízdným stojanem pro snadný přesun, konstrukce stojanu musí být z odolného kovového materiálu</w:t>
            </w:r>
          </w:p>
        </w:tc>
        <w:tc>
          <w:tcPr>
            <w:tcW w:w="1057" w:type="dxa"/>
            <w:gridSpan w:val="2"/>
          </w:tcPr>
          <w:p w14:paraId="1C078B4B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5F08E6E4" w14:textId="77777777" w:rsidTr="00A15621">
        <w:tc>
          <w:tcPr>
            <w:tcW w:w="5649" w:type="dxa"/>
          </w:tcPr>
          <w:p w14:paraId="3990B5A3" w14:textId="14051EB5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Zařízení musí být vybaveno minimálně dvěma vstupy podtlaku/dvou lahvovým systémem, aby bylo možné střídání sběrných nádob/lahví během provozu dle potřeby</w:t>
            </w:r>
          </w:p>
        </w:tc>
        <w:tc>
          <w:tcPr>
            <w:tcW w:w="1057" w:type="dxa"/>
            <w:gridSpan w:val="2"/>
          </w:tcPr>
          <w:p w14:paraId="7F950773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660FFD10" w14:textId="77777777" w:rsidTr="00A15621">
        <w:tc>
          <w:tcPr>
            <w:tcW w:w="5649" w:type="dxa"/>
          </w:tcPr>
          <w:p w14:paraId="6B74A7C5" w14:textId="2377B111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Součástí dodání musí být minimálně dvě sběrné nádoby/lahve pro odsávaný obsah o objemu minimálně 2 l</w:t>
            </w:r>
          </w:p>
        </w:tc>
        <w:tc>
          <w:tcPr>
            <w:tcW w:w="1057" w:type="dxa"/>
            <w:gridSpan w:val="2"/>
          </w:tcPr>
          <w:p w14:paraId="7555192A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14984B43" w14:textId="77777777" w:rsidTr="00A15621">
        <w:tc>
          <w:tcPr>
            <w:tcW w:w="5649" w:type="dxa"/>
          </w:tcPr>
          <w:p w14:paraId="6A1FFC15" w14:textId="41D08C34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 xml:space="preserve">Sběrné nádoby musí být opakovaně použitelné, omyvatelné, </w:t>
            </w:r>
            <w:proofErr w:type="spellStart"/>
            <w:r w:rsidRPr="00382A93">
              <w:rPr>
                <w:rFonts w:ascii="Tahoma" w:hAnsi="Tahoma" w:cs="Tahoma"/>
                <w:sz w:val="19"/>
                <w:szCs w:val="19"/>
              </w:rPr>
              <w:t>sterilizovatelné</w:t>
            </w:r>
            <w:proofErr w:type="spellEnd"/>
          </w:p>
        </w:tc>
        <w:tc>
          <w:tcPr>
            <w:tcW w:w="1057" w:type="dxa"/>
            <w:gridSpan w:val="2"/>
          </w:tcPr>
          <w:p w14:paraId="6816A098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56768B52" w14:textId="77777777" w:rsidTr="00A15621">
        <w:tc>
          <w:tcPr>
            <w:tcW w:w="5649" w:type="dxa"/>
          </w:tcPr>
          <w:p w14:paraId="79168758" w14:textId="789F751D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Při potřebě lze použít místo sběrných nádob/lahví také sběrné vaky</w:t>
            </w:r>
          </w:p>
        </w:tc>
        <w:tc>
          <w:tcPr>
            <w:tcW w:w="1057" w:type="dxa"/>
            <w:gridSpan w:val="2"/>
          </w:tcPr>
          <w:p w14:paraId="705333C0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3436EC69" w14:textId="77777777" w:rsidTr="00A15621">
        <w:tc>
          <w:tcPr>
            <w:tcW w:w="5649" w:type="dxa"/>
          </w:tcPr>
          <w:p w14:paraId="518BD285" w14:textId="185CCBA7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Ochrana proti přeplnění sběrné nádoby, který zabrání vniknutí tekutiny do přístroje</w:t>
            </w:r>
          </w:p>
        </w:tc>
        <w:tc>
          <w:tcPr>
            <w:tcW w:w="1057" w:type="dxa"/>
            <w:gridSpan w:val="2"/>
          </w:tcPr>
          <w:p w14:paraId="7C182290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82A93" w:rsidRPr="005A6ACC" w14:paraId="43D0BEFC" w14:textId="77777777" w:rsidTr="00A15621">
        <w:tc>
          <w:tcPr>
            <w:tcW w:w="5649" w:type="dxa"/>
          </w:tcPr>
          <w:p w14:paraId="738E91FD" w14:textId="3AFD91B9" w:rsidR="00382A93" w:rsidRPr="00382A93" w:rsidRDefault="00382A93" w:rsidP="00382A9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82A93">
              <w:rPr>
                <w:rFonts w:ascii="Tahoma" w:hAnsi="Tahoma" w:cs="Tahoma"/>
                <w:sz w:val="19"/>
                <w:szCs w:val="19"/>
              </w:rPr>
              <w:t>Hlučnost: maximálně 50 dB</w:t>
            </w:r>
          </w:p>
        </w:tc>
        <w:tc>
          <w:tcPr>
            <w:tcW w:w="1057" w:type="dxa"/>
            <w:gridSpan w:val="2"/>
          </w:tcPr>
          <w:p w14:paraId="3F839CF5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382A93" w:rsidRPr="003A5F96" w:rsidRDefault="00382A93" w:rsidP="00382A9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A4A7" w14:textId="77777777" w:rsidR="000140EC" w:rsidRDefault="000140EC" w:rsidP="00E13F97">
      <w:pPr>
        <w:spacing w:after="0" w:line="240" w:lineRule="auto"/>
      </w:pPr>
      <w:r>
        <w:separator/>
      </w:r>
    </w:p>
  </w:endnote>
  <w:endnote w:type="continuationSeparator" w:id="0">
    <w:p w14:paraId="06EB2630" w14:textId="77777777" w:rsidR="000140EC" w:rsidRDefault="000140EC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821BE" w14:textId="77777777" w:rsidR="000140EC" w:rsidRDefault="000140EC" w:rsidP="00E13F97">
      <w:pPr>
        <w:spacing w:after="0" w:line="240" w:lineRule="auto"/>
      </w:pPr>
      <w:r>
        <w:separator/>
      </w:r>
    </w:p>
  </w:footnote>
  <w:footnote w:type="continuationSeparator" w:id="0">
    <w:p w14:paraId="2E9BAD5C" w14:textId="77777777" w:rsidR="000140EC" w:rsidRDefault="000140EC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40EC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382A93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394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2026-08-03T05:55:00Z</dcterms:modified>
</cp:coreProperties>
</file>